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Håbo kommunfullmäktige</w:t>
      </w:r>
    </w:p>
    <w:p>
      <w:pPr>
        <w:pStyle w:val="Heading1"/>
      </w:pPr>
      <w:r>
        <w:t xml:space="preserve">Ordning och kunskap i Håbos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Håbo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Håbos meritvärde i åk 9 ligger på 215 poäng, lägre än rikssnittet (Kolada 2024). Skolinspektionen har påpekat brister i arbetsro och tidiga insatser. Liberalerna vill prioritera fler lärare, mobilförbud och tidig lästräning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Håbo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samtliga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minst fem extra speciallärare i läs- och skrivutveckling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 kartläggning av läsförståelse i årskurs 1 och 3 från läsåret 2026/2027.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2,5 mnkr årligen för kompetensutveckling i klassrumsledarskap för lärare.</w:t>
      </w:r>
    </w:p>
    <w:p>
      <w:pPr>
        <w:spacing w:before="360"/>
      </w:pPr>
    </w:p>
    <w:p>
      <w:r>
        <w:t xml:space="preserve">Håbo,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Håbo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2026-07-14T03:32:27.662Z</dcterms:created>
  <dcterms:modified xsi:type="dcterms:W3CDTF">2026-07-14T03:32:27.662Z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